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0F8C" w14:textId="77777777" w:rsidR="00D037AE" w:rsidRDefault="00D037AE">
      <w:pPr>
        <w:ind w:left="8080" w:firstLine="142"/>
      </w:pPr>
    </w:p>
    <w:p w14:paraId="68873D22" w14:textId="77777777" w:rsidR="00D037AE" w:rsidRDefault="00D037AE">
      <w:pPr>
        <w:ind w:left="8080" w:firstLine="142"/>
      </w:pPr>
    </w:p>
    <w:p w14:paraId="274121F0" w14:textId="77777777" w:rsidR="00D037AE" w:rsidRDefault="00D037AE">
      <w:pPr>
        <w:ind w:left="8080" w:firstLine="142"/>
      </w:pPr>
    </w:p>
    <w:p w14:paraId="08BFACD6" w14:textId="77777777" w:rsidR="00D037AE" w:rsidRDefault="001D231D">
      <w:pPr>
        <w:tabs>
          <w:tab w:val="left" w:pos="7371"/>
        </w:tabs>
      </w:pPr>
      <w:r>
        <w:rPr>
          <w:rFonts w:ascii="Arial" w:eastAsia="Arial" w:hAnsi="Arial" w:cs="Arial"/>
          <w:color w:val="EE7612"/>
          <w:sz w:val="16"/>
          <w:szCs w:val="16"/>
        </w:rPr>
        <w:t>Ihr Firmenname GmbH | Musterweg 1 | 12345 Musterstadt</w:t>
      </w:r>
    </w:p>
    <w:p w14:paraId="3C564D82" w14:textId="77777777" w:rsidR="00D037AE" w:rsidRDefault="001D231D">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14:paraId="55E83DCE" w14:textId="77777777" w:rsidR="00D037AE" w:rsidRDefault="001D231D">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r>
      <w:r>
        <w:rPr>
          <w:rFonts w:ascii="Arial" w:eastAsia="Arial" w:hAnsi="Arial" w:cs="Arial"/>
          <w:b/>
          <w:sz w:val="20"/>
          <w:szCs w:val="20"/>
        </w:rPr>
        <w:tab/>
        <w:t>Auftragsdatum</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p>
    <w:p w14:paraId="4997EFE9" w14:textId="77777777" w:rsidR="00D037AE" w:rsidRDefault="001D231D">
      <w:pPr>
        <w:spacing w:after="0" w:line="240" w:lineRule="auto"/>
        <w:jc w:val="right"/>
        <w:rPr>
          <w:rFonts w:ascii="Arial" w:eastAsia="Arial" w:hAnsi="Arial" w:cs="Arial"/>
          <w:sz w:val="14"/>
          <w:szCs w:val="14"/>
        </w:rPr>
      </w:pPr>
      <w:r>
        <w:rPr>
          <w:rFonts w:ascii="Arial" w:eastAsia="Arial" w:hAnsi="Arial" w:cs="Arial"/>
          <w:sz w:val="18"/>
          <w:szCs w:val="18"/>
        </w:rPr>
        <w:t xml:space="preserve">                                                    YYYYYYYYYYYY                            TT.MM.JJJJ   </w:t>
      </w:r>
      <w:r>
        <w:rPr>
          <w:rFonts w:ascii="Arial" w:eastAsia="Arial" w:hAnsi="Arial" w:cs="Arial"/>
          <w:sz w:val="18"/>
          <w:szCs w:val="18"/>
        </w:rPr>
        <w:tab/>
        <w:t xml:space="preserve">    </w:t>
      </w:r>
      <w:r>
        <w:rPr>
          <w:rFonts w:ascii="Arial" w:eastAsia="Arial" w:hAnsi="Arial" w:cs="Arial"/>
          <w:sz w:val="18"/>
          <w:szCs w:val="18"/>
        </w:rPr>
        <w:tab/>
        <w:t xml:space="preserve"> </w:t>
      </w:r>
      <w:proofErr w:type="spellStart"/>
      <w:r>
        <w:rPr>
          <w:rFonts w:ascii="Arial" w:eastAsia="Arial" w:hAnsi="Arial" w:cs="Arial"/>
          <w:sz w:val="18"/>
          <w:szCs w:val="18"/>
        </w:rPr>
        <w:t>TT.MM.JJJJ</w:t>
      </w:r>
      <w:proofErr w:type="spellEnd"/>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64DBA2F2" w14:textId="77777777" w:rsidR="00D037AE" w:rsidRDefault="00D037AE">
      <w:pPr>
        <w:spacing w:after="0"/>
        <w:ind w:left="4254" w:firstLine="708"/>
        <w:rPr>
          <w:rFonts w:ascii="Arial" w:eastAsia="Arial" w:hAnsi="Arial" w:cs="Arial"/>
          <w:sz w:val="18"/>
          <w:szCs w:val="18"/>
        </w:rPr>
      </w:pPr>
    </w:p>
    <w:p w14:paraId="59070DEE" w14:textId="77777777" w:rsidR="00D037AE" w:rsidRDefault="001D231D">
      <w:pPr>
        <w:spacing w:after="360"/>
        <w:rPr>
          <w:rFonts w:ascii="Arial" w:eastAsia="Arial" w:hAnsi="Arial" w:cs="Arial"/>
          <w:sz w:val="40"/>
          <w:szCs w:val="40"/>
        </w:rPr>
      </w:pPr>
      <w:r>
        <w:rPr>
          <w:rFonts w:ascii="Arial" w:eastAsia="Arial" w:hAnsi="Arial" w:cs="Arial"/>
          <w:sz w:val="40"/>
          <w:szCs w:val="40"/>
        </w:rPr>
        <w:t>Auftragsbestätigung Nr. 12345</w:t>
      </w:r>
    </w:p>
    <w:p w14:paraId="7EAE5280" w14:textId="77777777" w:rsidR="00D037AE" w:rsidRDefault="001D231D">
      <w:pPr>
        <w:spacing w:after="360"/>
        <w:jc w:val="both"/>
        <w:rPr>
          <w:rFonts w:ascii="Arial" w:eastAsia="Arial" w:hAnsi="Arial" w:cs="Arial"/>
          <w:sz w:val="20"/>
          <w:szCs w:val="20"/>
        </w:rPr>
      </w:pPr>
      <w:r>
        <w:rPr>
          <w:rFonts w:ascii="Arial" w:eastAsia="Arial" w:hAnsi="Arial" w:cs="Arial"/>
          <w:sz w:val="20"/>
          <w:szCs w:val="20"/>
        </w:rPr>
        <w:t xml:space="preserve">Wir bedanken uns für Ihren Auftrag. Gemäß unserem Angebot XXXXXX vom </w:t>
      </w:r>
      <w:r>
        <w:rPr>
          <w:rFonts w:ascii="Arial" w:eastAsia="Arial" w:hAnsi="Arial" w:cs="Arial"/>
          <w:sz w:val="18"/>
          <w:szCs w:val="18"/>
        </w:rPr>
        <w:t>TT.MM.JJJJ</w:t>
      </w:r>
      <w:r>
        <w:rPr>
          <w:rFonts w:ascii="Arial" w:eastAsia="Arial" w:hAnsi="Arial" w:cs="Arial"/>
          <w:sz w:val="20"/>
          <w:szCs w:val="20"/>
        </w:rPr>
        <w:t xml:space="preserve"> erbringen wir im</w:t>
      </w:r>
      <w:r>
        <w:rPr>
          <w:rFonts w:ascii="Arial" w:eastAsia="Arial" w:hAnsi="Arial" w:cs="Arial"/>
          <w:sz w:val="20"/>
          <w:szCs w:val="20"/>
        </w:rPr>
        <w:t xml:space="preserve"> Einzelnen die folgenden Leistungen: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D037AE" w14:paraId="418831D0" w14:textId="77777777">
        <w:trPr>
          <w:trHeight w:val="340"/>
        </w:trPr>
        <w:tc>
          <w:tcPr>
            <w:tcW w:w="707" w:type="dxa"/>
            <w:tcBorders>
              <w:top w:val="single" w:sz="8" w:space="0" w:color="000000"/>
              <w:left w:val="nil"/>
              <w:bottom w:val="single" w:sz="8" w:space="0" w:color="000000"/>
              <w:right w:val="nil"/>
            </w:tcBorders>
            <w:vAlign w:val="center"/>
          </w:tcPr>
          <w:p w14:paraId="00A0000D" w14:textId="77777777" w:rsidR="00D037AE" w:rsidRDefault="001D231D">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14:paraId="152E9677" w14:textId="77777777" w:rsidR="00D037AE" w:rsidRDefault="00D037AE">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14:paraId="374F1F5C" w14:textId="77777777" w:rsidR="00D037AE" w:rsidRDefault="001D231D">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14:paraId="7172E060" w14:textId="77777777" w:rsidR="00D037AE" w:rsidRDefault="001D231D">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14:paraId="5F16C433" w14:textId="77777777" w:rsidR="00D037AE" w:rsidRDefault="001D231D">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14:paraId="0771C627" w14:textId="77777777" w:rsidR="00D037AE" w:rsidRDefault="001D231D">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14:paraId="32CB6FAE" w14:textId="77777777" w:rsidR="00D037AE" w:rsidRDefault="001D231D">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D037AE" w14:paraId="5D587703" w14:textId="77777777">
        <w:trPr>
          <w:trHeight w:val="20"/>
        </w:trPr>
        <w:tc>
          <w:tcPr>
            <w:tcW w:w="707" w:type="dxa"/>
            <w:tcBorders>
              <w:top w:val="single" w:sz="8" w:space="0" w:color="000000"/>
              <w:left w:val="nil"/>
              <w:bottom w:val="nil"/>
              <w:right w:val="nil"/>
            </w:tcBorders>
          </w:tcPr>
          <w:p w14:paraId="20EBDCF8" w14:textId="77777777" w:rsidR="00D037AE" w:rsidRDefault="001D231D">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Pr>
          <w:p w14:paraId="1388D8DC" w14:textId="77777777" w:rsidR="00D037AE" w:rsidRDefault="00D037AE">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Pr>
          <w:p w14:paraId="03F41D55" w14:textId="77777777" w:rsidR="00D037AE" w:rsidRDefault="001D231D">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Pr>
          <w:p w14:paraId="4715FC34" w14:textId="77777777" w:rsidR="00D037AE" w:rsidRDefault="001D231D">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Pr>
          <w:p w14:paraId="317924D1" w14:textId="77777777" w:rsidR="00D037AE" w:rsidRDefault="001D231D">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Pr>
          <w:p w14:paraId="0F863C2C" w14:textId="77777777" w:rsidR="00D037AE" w:rsidRDefault="001D231D">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Pr>
          <w:p w14:paraId="2BBF1A16" w14:textId="77777777" w:rsidR="00D037AE" w:rsidRDefault="001D231D">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D037AE" w14:paraId="49B19A25" w14:textId="77777777">
        <w:trPr>
          <w:trHeight w:val="680"/>
        </w:trPr>
        <w:tc>
          <w:tcPr>
            <w:tcW w:w="707" w:type="dxa"/>
            <w:tcBorders>
              <w:top w:val="nil"/>
              <w:left w:val="nil"/>
              <w:bottom w:val="nil"/>
              <w:right w:val="nil"/>
            </w:tcBorders>
          </w:tcPr>
          <w:p w14:paraId="25DA90B3" w14:textId="77777777" w:rsidR="00D037AE" w:rsidRDefault="001D231D">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Pr>
          <w:p w14:paraId="4CEDD800" w14:textId="77777777" w:rsidR="00D037AE" w:rsidRDefault="00D037AE">
            <w:pPr>
              <w:widowControl w:val="0"/>
              <w:spacing w:line="240" w:lineRule="auto"/>
              <w:rPr>
                <w:rFonts w:ascii="Arial" w:eastAsia="Arial" w:hAnsi="Arial" w:cs="Arial"/>
                <w:sz w:val="20"/>
                <w:szCs w:val="20"/>
              </w:rPr>
            </w:pPr>
          </w:p>
        </w:tc>
        <w:tc>
          <w:tcPr>
            <w:tcW w:w="3848" w:type="dxa"/>
            <w:tcBorders>
              <w:top w:val="nil"/>
              <w:left w:val="nil"/>
              <w:bottom w:val="nil"/>
              <w:right w:val="nil"/>
            </w:tcBorders>
          </w:tcPr>
          <w:p w14:paraId="5B8461F2" w14:textId="77777777" w:rsidR="00D037AE" w:rsidRDefault="001D231D">
            <w:pPr>
              <w:widowControl w:val="0"/>
              <w:spacing w:line="240" w:lineRule="auto"/>
              <w:rPr>
                <w:rFonts w:ascii="Arial" w:eastAsia="Arial" w:hAnsi="Arial" w:cs="Arial"/>
                <w:sz w:val="20"/>
                <w:szCs w:val="20"/>
              </w:rPr>
            </w:pPr>
            <w:r>
              <w:rPr>
                <w:rFonts w:ascii="Arial" w:eastAsia="Arial" w:hAnsi="Arial" w:cs="Arial"/>
                <w:b/>
                <w:sz w:val="20"/>
                <w:szCs w:val="20"/>
              </w:rPr>
              <w:t>Anfahrt und Aufbau</w:t>
            </w:r>
            <w:r>
              <w:rPr>
                <w:rFonts w:ascii="Arial" w:eastAsia="Arial" w:hAnsi="Arial" w:cs="Arial"/>
                <w:sz w:val="20"/>
                <w:szCs w:val="20"/>
              </w:rPr>
              <w:br/>
            </w:r>
          </w:p>
        </w:tc>
        <w:tc>
          <w:tcPr>
            <w:tcW w:w="823" w:type="dxa"/>
            <w:tcBorders>
              <w:top w:val="nil"/>
              <w:left w:val="nil"/>
              <w:bottom w:val="nil"/>
              <w:right w:val="nil"/>
            </w:tcBorders>
          </w:tcPr>
          <w:p w14:paraId="00AE7AFA"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Pr>
          <w:p w14:paraId="40B0782D" w14:textId="77777777" w:rsidR="00D037AE" w:rsidRDefault="001D231D">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Pr>
          <w:p w14:paraId="4CFF2865"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Pr>
          <w:p w14:paraId="73BD8C05"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D037AE" w14:paraId="1C1E49F7" w14:textId="77777777">
        <w:trPr>
          <w:trHeight w:val="440"/>
        </w:trPr>
        <w:tc>
          <w:tcPr>
            <w:tcW w:w="5397" w:type="dxa"/>
            <w:gridSpan w:val="4"/>
            <w:tcBorders>
              <w:top w:val="nil"/>
              <w:left w:val="nil"/>
              <w:bottom w:val="nil"/>
              <w:right w:val="nil"/>
            </w:tcBorders>
          </w:tcPr>
          <w:p w14:paraId="3D7360DF" w14:textId="77777777" w:rsidR="00D037AE" w:rsidRDefault="00D037AE">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Pr>
          <w:p w14:paraId="0E582647" w14:textId="77777777" w:rsidR="00D037AE" w:rsidRDefault="001D231D">
            <w:pPr>
              <w:widowControl w:val="0"/>
              <w:spacing w:line="240" w:lineRule="auto"/>
              <w:jc w:val="right"/>
              <w:rPr>
                <w:rFonts w:ascii="Arial" w:eastAsia="Arial" w:hAnsi="Arial" w:cs="Arial"/>
                <w:color w:val="000000"/>
                <w:sz w:val="20"/>
                <w:szCs w:val="20"/>
              </w:rPr>
            </w:pPr>
            <w:r>
              <w:rPr>
                <w:rFonts w:ascii="Arial" w:eastAsia="Arial" w:hAnsi="Arial" w:cs="Arial"/>
                <w:sz w:val="20"/>
                <w:szCs w:val="20"/>
              </w:rPr>
              <w:t>Summe Netto</w:t>
            </w:r>
          </w:p>
        </w:tc>
        <w:tc>
          <w:tcPr>
            <w:tcW w:w="1275" w:type="dxa"/>
            <w:tcBorders>
              <w:top w:val="nil"/>
              <w:left w:val="nil"/>
              <w:bottom w:val="single" w:sz="8" w:space="0" w:color="000000"/>
              <w:right w:val="nil"/>
            </w:tcBorders>
          </w:tcPr>
          <w:p w14:paraId="66C12E68"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€ 1.120.00</w:t>
            </w:r>
          </w:p>
        </w:tc>
      </w:tr>
      <w:tr w:rsidR="00D037AE" w14:paraId="302C0478" w14:textId="77777777">
        <w:trPr>
          <w:trHeight w:val="540"/>
        </w:trPr>
        <w:tc>
          <w:tcPr>
            <w:tcW w:w="5397" w:type="dxa"/>
            <w:gridSpan w:val="4"/>
            <w:tcBorders>
              <w:top w:val="nil"/>
              <w:left w:val="nil"/>
              <w:bottom w:val="nil"/>
              <w:right w:val="nil"/>
            </w:tcBorders>
          </w:tcPr>
          <w:p w14:paraId="510837B6" w14:textId="77777777" w:rsidR="00D037AE" w:rsidRDefault="00D037AE">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Pr>
          <w:p w14:paraId="434E16AF" w14:textId="77777777" w:rsidR="00D037AE" w:rsidRDefault="001D231D">
            <w:pPr>
              <w:widowControl w:val="0"/>
              <w:spacing w:line="240" w:lineRule="auto"/>
              <w:jc w:val="right"/>
              <w:rPr>
                <w:rFonts w:ascii="Arial" w:eastAsia="Arial" w:hAnsi="Arial" w:cs="Arial"/>
                <w:color w:val="000000"/>
                <w:sz w:val="20"/>
                <w:szCs w:val="20"/>
              </w:rPr>
            </w:pPr>
            <w:proofErr w:type="gramStart"/>
            <w:r>
              <w:rPr>
                <w:rFonts w:ascii="Arial" w:eastAsia="Arial" w:hAnsi="Arial" w:cs="Arial"/>
                <w:sz w:val="20"/>
                <w:szCs w:val="20"/>
              </w:rPr>
              <w:t>Umsatzsteuer  19</w:t>
            </w:r>
            <w:proofErr w:type="gramEnd"/>
            <w:r>
              <w:rPr>
                <w:rFonts w:ascii="Arial" w:eastAsia="Arial" w:hAnsi="Arial" w:cs="Arial"/>
                <w:sz w:val="20"/>
                <w:szCs w:val="20"/>
              </w:rPr>
              <w:t xml:space="preserve">,00% </w:t>
            </w:r>
          </w:p>
        </w:tc>
        <w:tc>
          <w:tcPr>
            <w:tcW w:w="1275" w:type="dxa"/>
            <w:tcBorders>
              <w:top w:val="single" w:sz="8" w:space="0" w:color="000000"/>
              <w:left w:val="nil"/>
              <w:bottom w:val="single" w:sz="4" w:space="0" w:color="000000"/>
              <w:right w:val="nil"/>
            </w:tcBorders>
          </w:tcPr>
          <w:p w14:paraId="25C9220D" w14:textId="77777777" w:rsidR="00D037AE" w:rsidRDefault="001D231D">
            <w:pPr>
              <w:widowControl w:val="0"/>
              <w:spacing w:line="240" w:lineRule="auto"/>
              <w:jc w:val="right"/>
              <w:rPr>
                <w:rFonts w:ascii="Arial" w:eastAsia="Arial" w:hAnsi="Arial" w:cs="Arial"/>
                <w:sz w:val="20"/>
                <w:szCs w:val="20"/>
              </w:rPr>
            </w:pPr>
            <w:r>
              <w:rPr>
                <w:rFonts w:ascii="Arial" w:eastAsia="Arial" w:hAnsi="Arial" w:cs="Arial"/>
                <w:sz w:val="20"/>
                <w:szCs w:val="20"/>
              </w:rPr>
              <w:t>€ 212,80</w:t>
            </w:r>
          </w:p>
        </w:tc>
      </w:tr>
      <w:tr w:rsidR="00D037AE" w14:paraId="0A04F15F" w14:textId="77777777">
        <w:trPr>
          <w:trHeight w:val="560"/>
        </w:trPr>
        <w:tc>
          <w:tcPr>
            <w:tcW w:w="5397" w:type="dxa"/>
            <w:gridSpan w:val="4"/>
            <w:tcBorders>
              <w:top w:val="nil"/>
              <w:left w:val="nil"/>
              <w:bottom w:val="nil"/>
              <w:right w:val="nil"/>
            </w:tcBorders>
          </w:tcPr>
          <w:p w14:paraId="23B44ED4" w14:textId="77777777" w:rsidR="00D037AE" w:rsidRDefault="00D037AE">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Pr>
          <w:p w14:paraId="5740EFAF" w14:textId="77777777" w:rsidR="00D037AE" w:rsidRDefault="001D231D">
            <w:pPr>
              <w:widowControl w:val="0"/>
              <w:spacing w:line="240" w:lineRule="auto"/>
              <w:jc w:val="right"/>
              <w:rPr>
                <w:rFonts w:ascii="Arial" w:eastAsia="Arial" w:hAnsi="Arial" w:cs="Arial"/>
                <w:b/>
                <w:color w:val="000000"/>
              </w:rPr>
            </w:pPr>
            <w:r>
              <w:rPr>
                <w:rFonts w:ascii="Arial" w:eastAsia="Arial" w:hAnsi="Arial" w:cs="Arial"/>
                <w:b/>
              </w:rPr>
              <w:t>Endsumme</w:t>
            </w:r>
          </w:p>
        </w:tc>
        <w:tc>
          <w:tcPr>
            <w:tcW w:w="1275" w:type="dxa"/>
            <w:tcBorders>
              <w:top w:val="single" w:sz="4" w:space="0" w:color="000000"/>
              <w:left w:val="nil"/>
              <w:bottom w:val="single" w:sz="4" w:space="0" w:color="ED7D31"/>
              <w:right w:val="nil"/>
            </w:tcBorders>
          </w:tcPr>
          <w:p w14:paraId="7137F027" w14:textId="77777777" w:rsidR="00D037AE" w:rsidRDefault="001D231D">
            <w:pPr>
              <w:widowControl w:val="0"/>
              <w:spacing w:line="240" w:lineRule="auto"/>
              <w:jc w:val="right"/>
              <w:rPr>
                <w:rFonts w:ascii="Arial" w:eastAsia="Arial" w:hAnsi="Arial" w:cs="Arial"/>
                <w:b/>
              </w:rPr>
            </w:pPr>
            <w:r>
              <w:rPr>
                <w:rFonts w:ascii="Arial" w:eastAsia="Arial" w:hAnsi="Arial" w:cs="Arial"/>
                <w:b/>
              </w:rPr>
              <w:t>€ 1.332,80</w:t>
            </w:r>
          </w:p>
        </w:tc>
      </w:tr>
    </w:tbl>
    <w:p w14:paraId="7AAC7DE2" w14:textId="77777777" w:rsidR="00D037AE" w:rsidRDefault="001D231D">
      <w:pPr>
        <w:spacing w:before="240" w:after="240"/>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t>Sie haben noch Fragen? Sie erreichen uns täglich von XX.XX bis XX.XX unter (+49) 1234/98 76 54 oder per E-Mail mail@musterfirma.com.</w:t>
      </w:r>
    </w:p>
    <w:p w14:paraId="46664608" w14:textId="77777777" w:rsidR="00D037AE" w:rsidRDefault="001D231D">
      <w:pPr>
        <w:jc w:val="both"/>
        <w:rPr>
          <w:rFonts w:ascii="Arial" w:eastAsia="Arial" w:hAnsi="Arial" w:cs="Arial"/>
          <w:sz w:val="20"/>
          <w:szCs w:val="20"/>
        </w:rPr>
      </w:pPr>
      <w:r>
        <w:rPr>
          <w:rFonts w:ascii="Arial" w:eastAsia="Arial" w:hAnsi="Arial" w:cs="Arial"/>
          <w:sz w:val="20"/>
          <w:szCs w:val="20"/>
        </w:rPr>
        <w:t xml:space="preserve">Wir freuen uns auf die Zusammenarbeit </w:t>
      </w:r>
    </w:p>
    <w:p w14:paraId="5C996F5B" w14:textId="77777777" w:rsidR="00D037AE" w:rsidRDefault="001D231D">
      <w:pPr>
        <w:spacing w:before="240" w:after="0"/>
        <w:rPr>
          <w:rFonts w:ascii="Arial" w:eastAsia="Arial" w:hAnsi="Arial" w:cs="Arial"/>
          <w:sz w:val="20"/>
          <w:szCs w:val="20"/>
        </w:rPr>
      </w:pPr>
      <w:r>
        <w:rPr>
          <w:rFonts w:ascii="Arial" w:eastAsia="Arial" w:hAnsi="Arial" w:cs="Arial"/>
          <w:sz w:val="20"/>
          <w:szCs w:val="20"/>
        </w:rPr>
        <w:t>Mit freundlichen Grüßen</w:t>
      </w:r>
    </w:p>
    <w:p w14:paraId="0551D6B8" w14:textId="77777777" w:rsidR="00D037AE" w:rsidRDefault="001D231D">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2FA71076" w14:textId="77777777" w:rsidR="00D037AE" w:rsidRDefault="001D231D">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r>
        <w:rPr>
          <w:rFonts w:ascii="Architects Daughter" w:eastAsia="Architects Daughter" w:hAnsi="Architects Daughter" w:cs="Architects Daughter"/>
          <w:sz w:val="32"/>
          <w:szCs w:val="32"/>
        </w:rPr>
        <w:tab/>
      </w:r>
    </w:p>
    <w:p w14:paraId="372F3A83" w14:textId="77777777" w:rsidR="00D037AE" w:rsidRDefault="001D231D">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Jetzt 25% Rabatt für 12 Monate beim K</w:t>
      </w:r>
      <w:r>
        <w:rPr>
          <w:rFonts w:ascii="Arial" w:eastAsia="Arial" w:hAnsi="Arial" w:cs="Arial"/>
          <w:color w:val="222222"/>
          <w:sz w:val="28"/>
          <w:szCs w:val="28"/>
          <w:highlight w:val="white"/>
        </w:rPr>
        <w:t xml:space="preserve">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29E47D8C" w14:textId="77777777" w:rsidR="00D037AE" w:rsidRDefault="00D037AE">
      <w:pPr>
        <w:tabs>
          <w:tab w:val="left" w:pos="2910"/>
        </w:tabs>
        <w:spacing w:after="0" w:line="240" w:lineRule="auto"/>
        <w:jc w:val="center"/>
        <w:rPr>
          <w:rFonts w:ascii="Arial" w:eastAsia="Arial" w:hAnsi="Arial" w:cs="Arial"/>
          <w:b/>
          <w:sz w:val="24"/>
          <w:szCs w:val="24"/>
        </w:rPr>
      </w:pPr>
    </w:p>
    <w:p w14:paraId="3DB1220D" w14:textId="77777777" w:rsidR="00D037AE" w:rsidRDefault="001D231D">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3D7827E4" wp14:editId="459F37AF">
            <wp:extent cx="5574348" cy="557434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4F741D6B" w14:textId="77777777" w:rsidR="00D037AE" w:rsidRDefault="00D037AE">
      <w:pPr>
        <w:tabs>
          <w:tab w:val="left" w:pos="2910"/>
        </w:tabs>
        <w:rPr>
          <w:rFonts w:ascii="Arial" w:eastAsia="Arial" w:hAnsi="Arial" w:cs="Arial"/>
          <w:sz w:val="24"/>
          <w:szCs w:val="24"/>
        </w:rPr>
      </w:pPr>
    </w:p>
    <w:p w14:paraId="349983C3" w14:textId="77777777" w:rsidR="00D037AE" w:rsidRDefault="00D037AE">
      <w:pPr>
        <w:tabs>
          <w:tab w:val="left" w:pos="2910"/>
        </w:tabs>
        <w:rPr>
          <w:rFonts w:ascii="Arial" w:eastAsia="Arial" w:hAnsi="Arial" w:cs="Arial"/>
          <w:sz w:val="24"/>
          <w:szCs w:val="24"/>
        </w:rPr>
      </w:pPr>
    </w:p>
    <w:p w14:paraId="0060AD48" w14:textId="77777777" w:rsidR="00D037AE" w:rsidRDefault="00D037AE">
      <w:pPr>
        <w:tabs>
          <w:tab w:val="left" w:pos="2910"/>
        </w:tabs>
        <w:jc w:val="center"/>
        <w:rPr>
          <w:rFonts w:ascii="Architects Daughter" w:eastAsia="Architects Daughter" w:hAnsi="Architects Daughter" w:cs="Architects Daughter"/>
          <w:sz w:val="32"/>
          <w:szCs w:val="32"/>
        </w:rPr>
      </w:pPr>
    </w:p>
    <w:p w14:paraId="17E443AE" w14:textId="77777777" w:rsidR="00D037AE" w:rsidRDefault="001D231D">
      <w:pPr>
        <w:tabs>
          <w:tab w:val="left" w:pos="2910"/>
        </w:tabs>
      </w:pPr>
      <w:r>
        <w:rPr>
          <w:noProof/>
        </w:rPr>
        <w:lastRenderedPageBreak/>
        <w:drawing>
          <wp:inline distT="0" distB="0" distL="114300" distR="114300" wp14:anchorId="082816F5" wp14:editId="05057B71">
            <wp:extent cx="4307840" cy="25558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2B05173F" w14:textId="77777777" w:rsidR="00D037AE" w:rsidRDefault="001D231D">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7D599418" w14:textId="77777777" w:rsidR="00D037AE" w:rsidRDefault="001D231D">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709368AF" w14:textId="77777777" w:rsidR="00D037AE" w:rsidRDefault="001D231D">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 xml:space="preserve">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6223E71A" w14:textId="77777777" w:rsidR="00D037AE" w:rsidRDefault="001D231D">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w:t>
      </w:r>
      <w:r>
        <w:rPr>
          <w:rFonts w:ascii="Arial" w:eastAsia="Arial" w:hAnsi="Arial" w:cs="Arial"/>
          <w:sz w:val="24"/>
          <w:szCs w:val="24"/>
        </w:rPr>
        <w:t xml:space="preserve">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14:paraId="1665AF15" w14:textId="77777777" w:rsidR="00D037AE" w:rsidRDefault="001D231D">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w:t>
      </w:r>
      <w:r>
        <w:rPr>
          <w:rFonts w:ascii="Arial" w:eastAsia="Arial" w:hAnsi="Arial" w:cs="Arial"/>
          <w:sz w:val="24"/>
          <w:szCs w:val="24"/>
        </w:rPr>
        <w:t xml:space="preserve">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55FA7BEA" w14:textId="77777777" w:rsidR="00D037AE" w:rsidRDefault="00D037AE">
      <w:pPr>
        <w:spacing w:after="0" w:line="240" w:lineRule="auto"/>
        <w:rPr>
          <w:rFonts w:ascii="Arial" w:eastAsia="Arial" w:hAnsi="Arial" w:cs="Arial"/>
          <w:b/>
          <w:sz w:val="36"/>
          <w:szCs w:val="36"/>
        </w:rPr>
      </w:pPr>
    </w:p>
    <w:bookmarkStart w:id="0" w:name="_gjdgxs" w:colFirst="0" w:colLast="0"/>
    <w:bookmarkEnd w:id="0"/>
    <w:p w14:paraId="05709E32" w14:textId="77777777" w:rsidR="00D037AE" w:rsidRDefault="001D231D">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14:paraId="4C71A401" w14:textId="77777777" w:rsidR="00D037AE" w:rsidRDefault="001D231D">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w:t>
      </w:r>
      <w:r>
        <w:rPr>
          <w:rFonts w:ascii="Arial" w:eastAsia="Arial" w:hAnsi="Arial" w:cs="Arial"/>
          <w:sz w:val="24"/>
          <w:szCs w:val="24"/>
        </w:rPr>
        <w:t>ührungspflichtige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14:paraId="3EAD8AE9" w14:textId="77777777" w:rsidR="00D037AE" w:rsidRDefault="00D037AE">
      <w:pPr>
        <w:rPr>
          <w:rFonts w:ascii="Arial" w:eastAsia="Arial" w:hAnsi="Arial" w:cs="Arial"/>
          <w:b/>
          <w:sz w:val="36"/>
          <w:szCs w:val="36"/>
        </w:rPr>
      </w:pPr>
    </w:p>
    <w:p w14:paraId="22B6F09A" w14:textId="77777777" w:rsidR="00D037AE" w:rsidRDefault="001D231D">
      <w:pPr>
        <w:rPr>
          <w:rFonts w:ascii="Arial" w:eastAsia="Arial" w:hAnsi="Arial" w:cs="Arial"/>
          <w:b/>
          <w:sz w:val="28"/>
          <w:szCs w:val="28"/>
        </w:rPr>
      </w:pPr>
      <w:r>
        <w:rPr>
          <w:rFonts w:ascii="Arial" w:eastAsia="Arial" w:hAnsi="Arial" w:cs="Arial"/>
          <w:b/>
          <w:sz w:val="28"/>
          <w:szCs w:val="28"/>
        </w:rPr>
        <w:t>Folgen</w:t>
      </w:r>
    </w:p>
    <w:p w14:paraId="5F390342" w14:textId="77777777" w:rsidR="00D037AE" w:rsidRDefault="001D231D">
      <w:pPr>
        <w:jc w:val="both"/>
        <w:rPr>
          <w:rFonts w:ascii="Arial" w:eastAsia="Arial" w:hAnsi="Arial" w:cs="Arial"/>
          <w:sz w:val="24"/>
          <w:szCs w:val="24"/>
        </w:rPr>
      </w:pPr>
      <w:r>
        <w:rPr>
          <w:rFonts w:ascii="Arial" w:eastAsia="Arial" w:hAnsi="Arial" w:cs="Arial"/>
          <w:sz w:val="24"/>
          <w:szCs w:val="24"/>
        </w:rPr>
        <w:t>Alle Belege müssen in dem Format aufbewahr</w:t>
      </w:r>
      <w:r>
        <w:rPr>
          <w:rFonts w:ascii="Arial" w:eastAsia="Arial" w:hAnsi="Arial" w:cs="Arial"/>
          <w:sz w:val="24"/>
          <w:szCs w:val="24"/>
        </w:rPr>
        <w:t xml:space="preserve">t </w:t>
      </w:r>
      <w:proofErr w:type="gramStart"/>
      <w:r>
        <w:rPr>
          <w:rFonts w:ascii="Arial" w:eastAsia="Arial" w:hAnsi="Arial" w:cs="Arial"/>
          <w:sz w:val="24"/>
          <w:szCs w:val="24"/>
        </w:rPr>
        <w:t>werden</w:t>
      </w:r>
      <w:proofErr w:type="gramEnd"/>
      <w:r>
        <w:rPr>
          <w:rFonts w:ascii="Arial" w:eastAsia="Arial" w:hAnsi="Arial" w:cs="Arial"/>
          <w:sz w:val="24"/>
          <w:szCs w:val="24"/>
        </w:rPr>
        <w:t xml:space="preserve"> in dem sie empfangen wurden. So müssen zum Beispiel</w:t>
      </w:r>
    </w:p>
    <w:p w14:paraId="293EE779" w14:textId="77777777" w:rsidR="00D037AE" w:rsidRDefault="001D231D">
      <w:pPr>
        <w:numPr>
          <w:ilvl w:val="0"/>
          <w:numId w:val="3"/>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6D42E765" w14:textId="77777777" w:rsidR="00D037AE" w:rsidRDefault="001D231D">
      <w:pPr>
        <w:numPr>
          <w:ilvl w:val="0"/>
          <w:numId w:val="3"/>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3AB3F0BF" w14:textId="77777777" w:rsidR="00D037AE" w:rsidRDefault="001D231D">
      <w:pPr>
        <w:rPr>
          <w:rFonts w:ascii="Arial" w:eastAsia="Arial" w:hAnsi="Arial" w:cs="Arial"/>
          <w:sz w:val="24"/>
          <w:szCs w:val="24"/>
        </w:rPr>
      </w:pPr>
      <w:r>
        <w:rPr>
          <w:rFonts w:ascii="Arial" w:eastAsia="Arial" w:hAnsi="Arial" w:cs="Arial"/>
          <w:sz w:val="24"/>
          <w:szCs w:val="24"/>
        </w:rPr>
        <w:t>in digitaler Form 10 Jahre oder länger aufbewahrt werden.</w:t>
      </w:r>
    </w:p>
    <w:p w14:paraId="2427AE53" w14:textId="77777777" w:rsidR="00D037AE" w:rsidRDefault="00D037AE">
      <w:pPr>
        <w:rPr>
          <w:rFonts w:ascii="Arial" w:eastAsia="Arial" w:hAnsi="Arial" w:cs="Arial"/>
          <w:sz w:val="24"/>
          <w:szCs w:val="24"/>
        </w:rPr>
      </w:pPr>
    </w:p>
    <w:p w14:paraId="21575EF3" w14:textId="77777777" w:rsidR="00D037AE" w:rsidRDefault="001D231D">
      <w:pPr>
        <w:rPr>
          <w:rFonts w:ascii="Arial" w:eastAsia="Arial" w:hAnsi="Arial" w:cs="Arial"/>
          <w:b/>
          <w:sz w:val="28"/>
          <w:szCs w:val="28"/>
        </w:rPr>
      </w:pPr>
      <w:r>
        <w:rPr>
          <w:rFonts w:ascii="Arial" w:eastAsia="Arial" w:hAnsi="Arial" w:cs="Arial"/>
          <w:b/>
          <w:sz w:val="28"/>
          <w:szCs w:val="28"/>
        </w:rPr>
        <w:t>Verantwortlich</w:t>
      </w:r>
    </w:p>
    <w:p w14:paraId="2FE25DFB" w14:textId="77777777" w:rsidR="00D037AE" w:rsidRDefault="001D231D">
      <w:pPr>
        <w:jc w:val="both"/>
        <w:rPr>
          <w:rFonts w:ascii="Arial" w:eastAsia="Arial" w:hAnsi="Arial" w:cs="Arial"/>
          <w:sz w:val="24"/>
          <w:szCs w:val="24"/>
        </w:rPr>
      </w:pPr>
      <w:r>
        <w:rPr>
          <w:rFonts w:ascii="Arial" w:eastAsia="Arial" w:hAnsi="Arial" w:cs="Arial"/>
          <w:sz w:val="24"/>
          <w:szCs w:val="24"/>
        </w:rPr>
        <w:t>Die Verantwortung für die Ordnungsmäßigkeit, also die Einhaltun</w:t>
      </w:r>
      <w:r>
        <w:rPr>
          <w:rFonts w:ascii="Arial" w:eastAsia="Arial" w:hAnsi="Arial" w:cs="Arial"/>
          <w:sz w:val="24"/>
          <w:szCs w:val="24"/>
        </w:rPr>
        <w:t xml:space="preserve">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1A3C2786" w14:textId="77777777" w:rsidR="00D037AE" w:rsidRDefault="001D231D">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10C50225" w14:textId="77777777" w:rsidR="00D037AE" w:rsidRDefault="001D231D">
      <w:pPr>
        <w:rPr>
          <w:rFonts w:ascii="Arial" w:eastAsia="Arial" w:hAnsi="Arial" w:cs="Arial"/>
          <w:b/>
          <w:sz w:val="28"/>
          <w:szCs w:val="28"/>
        </w:rPr>
      </w:pPr>
      <w:r>
        <w:rPr>
          <w:rFonts w:ascii="Arial" w:eastAsia="Arial" w:hAnsi="Arial" w:cs="Arial"/>
          <w:b/>
          <w:sz w:val="28"/>
          <w:szCs w:val="28"/>
        </w:rPr>
        <w:t>Was bedeutet das für Word, Excel &amp; Co.?</w:t>
      </w:r>
    </w:p>
    <w:p w14:paraId="70EFFD56" w14:textId="77777777" w:rsidR="00D037AE" w:rsidRDefault="001D231D">
      <w:pPr>
        <w:jc w:val="both"/>
        <w:rPr>
          <w:rFonts w:ascii="Arial" w:eastAsia="Arial" w:hAnsi="Arial" w:cs="Arial"/>
          <w:sz w:val="24"/>
          <w:szCs w:val="24"/>
        </w:rPr>
      </w:pPr>
      <w:r>
        <w:rPr>
          <w:rFonts w:ascii="Arial" w:eastAsia="Arial" w:hAnsi="Arial" w:cs="Arial"/>
          <w:sz w:val="24"/>
          <w:szCs w:val="24"/>
        </w:rPr>
        <w:t>Besonders bet</w:t>
      </w:r>
      <w:r>
        <w:rPr>
          <w:rFonts w:ascii="Arial" w:eastAsia="Arial" w:hAnsi="Arial" w:cs="Arial"/>
          <w:sz w:val="24"/>
          <w:szCs w:val="24"/>
        </w:rPr>
        <w:t>roffen sind Sie, wenn Sie Ihre Ausgangsbelege, z.B. Rechnungen mit Word und Excel oder vergleichbaren Textverarbeitungsprogrammen erstellen. Denn hierbei gilt:</w:t>
      </w:r>
    </w:p>
    <w:p w14:paraId="41D6B96A" w14:textId="77777777" w:rsidR="00D037AE" w:rsidRDefault="001D231D">
      <w:pPr>
        <w:numPr>
          <w:ilvl w:val="0"/>
          <w:numId w:val="1"/>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sind Dateiformate, die leicht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6593E402" w14:textId="77777777" w:rsidR="00D037AE" w:rsidRDefault="00D037AE">
      <w:pPr>
        <w:rPr>
          <w:rFonts w:ascii="Arial" w:eastAsia="Arial" w:hAnsi="Arial" w:cs="Arial"/>
          <w:sz w:val="24"/>
          <w:szCs w:val="24"/>
        </w:rPr>
      </w:pPr>
    </w:p>
    <w:p w14:paraId="759F0C05" w14:textId="340790CB" w:rsidR="00D037AE" w:rsidRDefault="001D231D">
      <w:pPr>
        <w:numPr>
          <w:ilvl w:val="0"/>
          <w:numId w:val="1"/>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w:t>
      </w:r>
      <w:r>
        <w:rPr>
          <w:rFonts w:ascii="Arial" w:eastAsia="Arial" w:hAnsi="Arial" w:cs="Arial"/>
          <w:sz w:val="24"/>
          <w:szCs w:val="24"/>
        </w:rPr>
        <w:t>ter verwendet</w:t>
      </w:r>
      <w:proofErr w:type="gramEnd"/>
      <w:r>
        <w:rPr>
          <w:rFonts w:ascii="Arial" w:eastAsia="Arial" w:hAnsi="Arial" w:cs="Arial"/>
          <w:sz w:val="24"/>
          <w:szCs w:val="24"/>
        </w:rPr>
        <w:t xml:space="preserve"> werden, wenn Sie ggf. mit Hilfe eines Steuerberaters zusätzliche Maßnahmen zur Gewährleistung der Unveränderbarkeit und Nachvollziehbarkeit einführen und dokumentieren. Erforderlich sind sowohl technische als auch organisatorische Maßnahmen. </w:t>
      </w:r>
      <w:r>
        <w:rPr>
          <w:rFonts w:ascii="Arial" w:eastAsia="Arial" w:hAnsi="Arial" w:cs="Arial"/>
          <w:sz w:val="24"/>
          <w:szCs w:val="24"/>
        </w:rPr>
        <w:t>Gleiches gilt für die Speicherung und Archivierung von Belegen und Dokumenten in Dateisystemen.</w:t>
      </w:r>
    </w:p>
    <w:p w14:paraId="4525AF7E" w14:textId="77777777" w:rsidR="00281571" w:rsidRDefault="00281571" w:rsidP="00281571">
      <w:pPr>
        <w:pStyle w:val="Listenabsatz"/>
        <w:rPr>
          <w:rFonts w:ascii="Arial" w:eastAsia="Arial" w:hAnsi="Arial" w:cs="Arial"/>
          <w:sz w:val="24"/>
          <w:szCs w:val="24"/>
        </w:rPr>
      </w:pPr>
    </w:p>
    <w:p w14:paraId="214A943D" w14:textId="77777777" w:rsidR="00281571" w:rsidRDefault="00281571" w:rsidP="00281571">
      <w:pPr>
        <w:spacing w:after="160" w:line="259" w:lineRule="auto"/>
        <w:ind w:left="720"/>
        <w:jc w:val="both"/>
        <w:rPr>
          <w:rFonts w:ascii="Arial" w:eastAsia="Arial" w:hAnsi="Arial" w:cs="Arial"/>
          <w:sz w:val="24"/>
          <w:szCs w:val="24"/>
        </w:rPr>
      </w:pPr>
    </w:p>
    <w:p w14:paraId="719D2036" w14:textId="77777777" w:rsidR="00D037AE" w:rsidRDefault="001D231D">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33E9B652" w14:textId="77777777" w:rsidR="00D037AE" w:rsidRDefault="001D231D">
      <w:pPr>
        <w:rPr>
          <w:rFonts w:ascii="Arial" w:eastAsia="Arial" w:hAnsi="Arial" w:cs="Arial"/>
          <w:b/>
          <w:sz w:val="36"/>
          <w:szCs w:val="36"/>
        </w:rPr>
      </w:pPr>
      <w:r>
        <w:rPr>
          <w:rFonts w:ascii="Arial" w:eastAsia="Arial" w:hAnsi="Arial" w:cs="Arial"/>
          <w:b/>
          <w:sz w:val="36"/>
          <w:szCs w:val="36"/>
        </w:rPr>
        <w:t>Meine Buchhaltung macht sich von allein.</w:t>
      </w:r>
    </w:p>
    <w:p w14:paraId="280447A0" w14:textId="77777777" w:rsidR="00D037AE" w:rsidRDefault="001D231D">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Kundendatenverwaltung und Buchhaltung ganz automatisch. Per Internet und App immer und überall verfügbar. Die Bilanz: weniger Bürokrati</w:t>
      </w:r>
      <w:r>
        <w:rPr>
          <w:rFonts w:ascii="Arial" w:eastAsia="Arial" w:hAnsi="Arial" w:cs="Arial"/>
          <w:b/>
          <w:sz w:val="28"/>
          <w:szCs w:val="28"/>
        </w:rPr>
        <w:t>e und mehr Zeit fürs Geschäft. Vertrauen Sie auf den Marktführer Lexware und über 150.000 zufriedene Kunden.</w:t>
      </w:r>
    </w:p>
    <w:p w14:paraId="473C84D0" w14:textId="77777777" w:rsidR="00D037AE" w:rsidRDefault="00D037AE">
      <w:pPr>
        <w:rPr>
          <w:rFonts w:ascii="Arial" w:eastAsia="Arial" w:hAnsi="Arial" w:cs="Arial"/>
          <w:sz w:val="24"/>
          <w:szCs w:val="24"/>
        </w:rPr>
      </w:pPr>
    </w:p>
    <w:p w14:paraId="77C00889" w14:textId="77777777" w:rsidR="00D037AE" w:rsidRDefault="001D231D">
      <w:pPr>
        <w:rPr>
          <w:rFonts w:ascii="Arial" w:eastAsia="Arial" w:hAnsi="Arial" w:cs="Arial"/>
          <w:b/>
          <w:sz w:val="28"/>
          <w:szCs w:val="28"/>
        </w:rPr>
      </w:pPr>
      <w:r>
        <w:rPr>
          <w:rFonts w:ascii="Arial" w:eastAsia="Arial" w:hAnsi="Arial" w:cs="Arial"/>
          <w:b/>
          <w:sz w:val="28"/>
          <w:szCs w:val="28"/>
        </w:rPr>
        <w:t>Die wichtigsten Funktionen:</w:t>
      </w:r>
    </w:p>
    <w:p w14:paraId="1D145BF8"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3118F7A9"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25E1DB93"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w:t>
      </w:r>
      <w:r>
        <w:rPr>
          <w:rFonts w:ascii="Arial" w:eastAsia="Arial" w:hAnsi="Arial" w:cs="Arial"/>
          <w:sz w:val="24"/>
          <w:szCs w:val="24"/>
        </w:rPr>
        <w:t>ng)</w:t>
      </w:r>
    </w:p>
    <w:p w14:paraId="64B14D53"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00F04877"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1D18B282"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5784DE52"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1F51E4DE"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23C5D831"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78038479" w14:textId="77777777" w:rsidR="00D037AE" w:rsidRDefault="001D231D">
      <w:pPr>
        <w:numPr>
          <w:ilvl w:val="0"/>
          <w:numId w:val="2"/>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39FE0A65" w14:textId="77777777" w:rsidR="00D037AE" w:rsidRDefault="001D231D">
      <w:pPr>
        <w:numPr>
          <w:ilvl w:val="0"/>
          <w:numId w:val="2"/>
        </w:numPr>
        <w:spacing w:after="160" w:line="259" w:lineRule="auto"/>
        <w:rPr>
          <w:rFonts w:ascii="Arial" w:eastAsia="Arial" w:hAnsi="Arial" w:cs="Arial"/>
          <w:sz w:val="24"/>
          <w:szCs w:val="24"/>
        </w:rPr>
      </w:pPr>
      <w:r>
        <w:rPr>
          <w:rFonts w:ascii="Arial" w:eastAsia="Arial" w:hAnsi="Arial" w:cs="Arial"/>
          <w:sz w:val="24"/>
          <w:szCs w:val="24"/>
        </w:rPr>
        <w:t>u</w:t>
      </w:r>
      <w:r>
        <w:rPr>
          <w:rFonts w:ascii="Arial" w:eastAsia="Arial" w:hAnsi="Arial" w:cs="Arial"/>
          <w:sz w:val="24"/>
          <w:szCs w:val="24"/>
        </w:rPr>
        <w:t>nd vieles mehr</w:t>
      </w:r>
    </w:p>
    <w:p w14:paraId="61E1A905" w14:textId="77777777" w:rsidR="00D037AE" w:rsidRDefault="00D037AE">
      <w:pPr>
        <w:rPr>
          <w:rFonts w:ascii="Arial" w:eastAsia="Arial" w:hAnsi="Arial" w:cs="Arial"/>
          <w:sz w:val="24"/>
          <w:szCs w:val="24"/>
        </w:rPr>
      </w:pPr>
    </w:p>
    <w:p w14:paraId="291E06F9" w14:textId="77777777" w:rsidR="00D037AE" w:rsidRDefault="001D231D">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7FFE5658" w14:textId="77777777" w:rsidR="00D037AE" w:rsidRDefault="001D231D">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xml:space="preserve">» Jetzt 25% Rabatt auf die ersten 12 Monate mit </w:t>
        </w:r>
        <w:proofErr w:type="spellStart"/>
        <w:r>
          <w:rPr>
            <w:rFonts w:ascii="Arial" w:eastAsia="Arial" w:hAnsi="Arial" w:cs="Arial"/>
            <w:b/>
            <w:color w:val="1155CC"/>
            <w:sz w:val="28"/>
            <w:szCs w:val="28"/>
            <w:u w:val="single"/>
          </w:rPr>
          <w:t>lexoffice</w:t>
        </w:r>
        <w:proofErr w:type="spellEnd"/>
        <w:r>
          <w:rPr>
            <w:rFonts w:ascii="Arial" w:eastAsia="Arial" w:hAnsi="Arial" w:cs="Arial"/>
            <w:b/>
            <w:color w:val="1155CC"/>
            <w:sz w:val="28"/>
            <w:szCs w:val="28"/>
            <w:u w:val="single"/>
          </w:rPr>
          <w:t xml:space="preserve"> sichern. Monatlich kündbar.</w:t>
        </w:r>
      </w:hyperlink>
    </w:p>
    <w:p w14:paraId="5B4370A4" w14:textId="77777777" w:rsidR="00D037AE" w:rsidRDefault="00D037AE">
      <w:pPr>
        <w:spacing w:after="0" w:line="240" w:lineRule="auto"/>
        <w:rPr>
          <w:rFonts w:ascii="Arial" w:eastAsia="Arial" w:hAnsi="Arial" w:cs="Arial"/>
          <w:b/>
          <w:sz w:val="28"/>
          <w:szCs w:val="28"/>
        </w:rPr>
      </w:pPr>
    </w:p>
    <w:p w14:paraId="45453B63" w14:textId="77777777" w:rsidR="00D037AE" w:rsidRDefault="00D037AE">
      <w:pPr>
        <w:spacing w:after="0" w:line="240" w:lineRule="auto"/>
        <w:rPr>
          <w:rFonts w:ascii="Arial" w:eastAsia="Arial" w:hAnsi="Arial" w:cs="Arial"/>
          <w:b/>
          <w:sz w:val="28"/>
          <w:szCs w:val="28"/>
        </w:rPr>
      </w:pPr>
    </w:p>
    <w:p w14:paraId="0C042FD1" w14:textId="77777777" w:rsidR="00D037AE" w:rsidRDefault="00D037AE">
      <w:pPr>
        <w:spacing w:after="0" w:line="240" w:lineRule="auto"/>
        <w:rPr>
          <w:rFonts w:ascii="Arial" w:eastAsia="Arial" w:hAnsi="Arial" w:cs="Arial"/>
          <w:b/>
          <w:sz w:val="28"/>
          <w:szCs w:val="28"/>
        </w:rPr>
      </w:pPr>
    </w:p>
    <w:p w14:paraId="17AB1927" w14:textId="77777777" w:rsidR="00D037AE" w:rsidRDefault="00D037AE">
      <w:pPr>
        <w:spacing w:after="0" w:line="240" w:lineRule="auto"/>
        <w:rPr>
          <w:rFonts w:ascii="Arial" w:eastAsia="Arial" w:hAnsi="Arial" w:cs="Arial"/>
          <w:b/>
          <w:sz w:val="28"/>
          <w:szCs w:val="28"/>
        </w:rPr>
      </w:pPr>
    </w:p>
    <w:p w14:paraId="19F0B7CD" w14:textId="77777777" w:rsidR="00D037AE" w:rsidRDefault="00D037AE">
      <w:pPr>
        <w:spacing w:after="0" w:line="240" w:lineRule="auto"/>
        <w:rPr>
          <w:rFonts w:ascii="Arial" w:eastAsia="Arial" w:hAnsi="Arial" w:cs="Arial"/>
          <w:b/>
          <w:sz w:val="28"/>
          <w:szCs w:val="28"/>
        </w:rPr>
      </w:pPr>
    </w:p>
    <w:p w14:paraId="42C7E3A7" w14:textId="77777777" w:rsidR="00D037AE" w:rsidRDefault="00D037AE">
      <w:pPr>
        <w:spacing w:after="0" w:line="240" w:lineRule="auto"/>
        <w:rPr>
          <w:rFonts w:ascii="Arial" w:eastAsia="Arial" w:hAnsi="Arial" w:cs="Arial"/>
          <w:b/>
          <w:sz w:val="28"/>
          <w:szCs w:val="28"/>
        </w:rPr>
      </w:pPr>
    </w:p>
    <w:p w14:paraId="09754FA5" w14:textId="77777777" w:rsidR="00D037AE" w:rsidRDefault="00D037AE">
      <w:pPr>
        <w:spacing w:after="0" w:line="240" w:lineRule="auto"/>
        <w:rPr>
          <w:rFonts w:ascii="Arial" w:eastAsia="Arial" w:hAnsi="Arial" w:cs="Arial"/>
          <w:b/>
          <w:sz w:val="28"/>
          <w:szCs w:val="28"/>
        </w:rPr>
      </w:pPr>
    </w:p>
    <w:p w14:paraId="747D157A" w14:textId="77777777" w:rsidR="00D037AE" w:rsidRDefault="00D037AE">
      <w:pPr>
        <w:spacing w:after="0" w:line="240" w:lineRule="auto"/>
        <w:rPr>
          <w:rFonts w:ascii="Arial" w:eastAsia="Arial" w:hAnsi="Arial" w:cs="Arial"/>
          <w:b/>
          <w:sz w:val="28"/>
          <w:szCs w:val="28"/>
        </w:rPr>
      </w:pPr>
    </w:p>
    <w:p w14:paraId="7DADCD6C" w14:textId="77777777" w:rsidR="00D037AE" w:rsidRDefault="00D037AE">
      <w:pPr>
        <w:spacing w:after="0" w:line="240" w:lineRule="auto"/>
        <w:rPr>
          <w:rFonts w:ascii="Arial" w:eastAsia="Arial" w:hAnsi="Arial" w:cs="Arial"/>
          <w:b/>
          <w:sz w:val="28"/>
          <w:szCs w:val="28"/>
        </w:rPr>
      </w:pPr>
    </w:p>
    <w:p w14:paraId="0FAE9BDA" w14:textId="77777777" w:rsidR="00D037AE" w:rsidRDefault="00D037AE">
      <w:pPr>
        <w:spacing w:after="0" w:line="240" w:lineRule="auto"/>
        <w:rPr>
          <w:rFonts w:ascii="Arial" w:eastAsia="Arial" w:hAnsi="Arial" w:cs="Arial"/>
          <w:b/>
          <w:sz w:val="28"/>
          <w:szCs w:val="28"/>
        </w:rPr>
      </w:pPr>
    </w:p>
    <w:p w14:paraId="389DB829" w14:textId="77777777" w:rsidR="00D037AE" w:rsidRDefault="001D231D">
      <w:pPr>
        <w:rPr>
          <w:rFonts w:ascii="Arial" w:eastAsia="Arial" w:hAnsi="Arial" w:cs="Arial"/>
          <w:b/>
          <w:sz w:val="28"/>
          <w:szCs w:val="28"/>
        </w:rPr>
      </w:pPr>
      <w:r>
        <w:rPr>
          <w:rFonts w:ascii="Arial" w:eastAsia="Arial" w:hAnsi="Arial" w:cs="Arial"/>
          <w:b/>
          <w:sz w:val="28"/>
          <w:szCs w:val="28"/>
        </w:rPr>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15AEDF0E" w14:textId="77777777" w:rsidR="00D037AE" w:rsidRDefault="001D231D">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70AFCD9C" w14:textId="77777777" w:rsidR="00D037AE" w:rsidRDefault="00D037AE">
      <w:pPr>
        <w:spacing w:after="120" w:line="259" w:lineRule="auto"/>
        <w:rPr>
          <w:rFonts w:ascii="Arial" w:eastAsia="Arial" w:hAnsi="Arial" w:cs="Arial"/>
          <w:b/>
          <w:sz w:val="24"/>
          <w:szCs w:val="24"/>
        </w:rPr>
      </w:pPr>
    </w:p>
    <w:p w14:paraId="236FDC59"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Chef-Übersicht</w:t>
      </w:r>
    </w:p>
    <w:p w14:paraId="156513C8"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w:t>
      </w:r>
      <w:r>
        <w:rPr>
          <w:rFonts w:ascii="Arial" w:eastAsia="Arial" w:hAnsi="Arial" w:cs="Arial"/>
          <w:sz w:val="24"/>
          <w:szCs w:val="24"/>
        </w:rPr>
        <w:t xml:space="preserve"> Daten auf einen Blick: tagesaktuelle Kontostände, offene Rechnungen und Angebote, aktuelle Umsatzsteuer-Zahllast für eine optimale Planung, sowie die Einnahmen und Ausgaben</w:t>
      </w:r>
    </w:p>
    <w:p w14:paraId="61B4A424" w14:textId="77777777" w:rsidR="00D037AE" w:rsidRDefault="00D037AE">
      <w:pPr>
        <w:spacing w:after="120" w:line="259" w:lineRule="auto"/>
        <w:rPr>
          <w:rFonts w:ascii="Arial" w:eastAsia="Arial" w:hAnsi="Arial" w:cs="Arial"/>
          <w:b/>
          <w:sz w:val="24"/>
          <w:szCs w:val="24"/>
        </w:rPr>
      </w:pPr>
    </w:p>
    <w:p w14:paraId="6A09D3AA"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160A11C1"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w:t>
      </w:r>
      <w:r>
        <w:rPr>
          <w:rFonts w:ascii="Arial" w:eastAsia="Arial" w:hAnsi="Arial" w:cs="Arial"/>
          <w:sz w:val="24"/>
          <w:szCs w:val="24"/>
        </w:rPr>
        <w:t xml:space="preserve">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14:paraId="1B57C94B" w14:textId="77777777" w:rsidR="00D037AE" w:rsidRDefault="00D037AE">
      <w:pPr>
        <w:spacing w:after="120" w:line="259" w:lineRule="auto"/>
        <w:rPr>
          <w:rFonts w:ascii="Arial" w:eastAsia="Arial" w:hAnsi="Arial" w:cs="Arial"/>
          <w:sz w:val="24"/>
          <w:szCs w:val="24"/>
        </w:rPr>
      </w:pPr>
    </w:p>
    <w:p w14:paraId="11D21439"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Online-Banking</w:t>
      </w:r>
    </w:p>
    <w:p w14:paraId="435E773E" w14:textId="77777777" w:rsidR="00D037AE" w:rsidRDefault="001D231D">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14:paraId="1A1169A1" w14:textId="77777777" w:rsidR="00D037AE" w:rsidRDefault="00D037AE">
      <w:pPr>
        <w:spacing w:after="120" w:line="259" w:lineRule="auto"/>
        <w:rPr>
          <w:rFonts w:ascii="Arial" w:eastAsia="Arial" w:hAnsi="Arial" w:cs="Arial"/>
          <w:sz w:val="24"/>
          <w:szCs w:val="24"/>
        </w:rPr>
      </w:pPr>
    </w:p>
    <w:p w14:paraId="290E12BE"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utomatische Buchhaltung</w:t>
      </w:r>
    </w:p>
    <w:p w14:paraId="1BF1C0EB"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2482AC33" w14:textId="77777777" w:rsidR="00D037AE" w:rsidRDefault="00D037AE">
      <w:pPr>
        <w:spacing w:after="120" w:line="259" w:lineRule="auto"/>
        <w:rPr>
          <w:rFonts w:ascii="Arial" w:eastAsia="Arial" w:hAnsi="Arial" w:cs="Arial"/>
          <w:sz w:val="24"/>
          <w:szCs w:val="24"/>
        </w:rPr>
      </w:pPr>
    </w:p>
    <w:p w14:paraId="4414D62D"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Abschreibungen</w:t>
      </w:r>
    </w:p>
    <w:p w14:paraId="6E695848"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w:t>
      </w:r>
      <w:r>
        <w:rPr>
          <w:rFonts w:ascii="Arial" w:eastAsia="Arial" w:hAnsi="Arial" w:cs="Arial"/>
          <w:sz w:val="24"/>
          <w:szCs w:val="24"/>
        </w:rPr>
        <w:t>exoffice</w:t>
      </w:r>
      <w:proofErr w:type="spellEnd"/>
      <w:r>
        <w:rPr>
          <w:rFonts w:ascii="Arial" w:eastAsia="Arial" w:hAnsi="Arial" w:cs="Arial"/>
          <w:sz w:val="24"/>
          <w:szCs w:val="24"/>
        </w:rPr>
        <w:t xml:space="preserve"> erledigt den Rest.</w:t>
      </w:r>
    </w:p>
    <w:p w14:paraId="5A6CBD7D" w14:textId="77777777" w:rsidR="00D037AE" w:rsidRDefault="00D037AE">
      <w:pPr>
        <w:spacing w:after="120" w:line="259" w:lineRule="auto"/>
        <w:rPr>
          <w:rFonts w:ascii="Arial" w:eastAsia="Arial" w:hAnsi="Arial" w:cs="Arial"/>
          <w:sz w:val="24"/>
          <w:szCs w:val="24"/>
        </w:rPr>
      </w:pPr>
    </w:p>
    <w:p w14:paraId="18AE3DA7"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6F7FEFF4"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1A255E00" w14:textId="77777777" w:rsidR="00D037AE" w:rsidRDefault="00D037AE">
      <w:pPr>
        <w:spacing w:after="120" w:line="259" w:lineRule="auto"/>
        <w:rPr>
          <w:rFonts w:ascii="Arial" w:eastAsia="Arial" w:hAnsi="Arial" w:cs="Arial"/>
          <w:sz w:val="24"/>
          <w:szCs w:val="24"/>
        </w:rPr>
      </w:pPr>
    </w:p>
    <w:p w14:paraId="2693F14E"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Belege scannen</w:t>
      </w:r>
    </w:p>
    <w:p w14:paraId="149D05DF"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w:t>
      </w:r>
      <w:r>
        <w:rPr>
          <w:rFonts w:ascii="Arial" w:eastAsia="Arial" w:hAnsi="Arial" w:cs="Arial"/>
          <w:sz w:val="24"/>
          <w:szCs w:val="24"/>
        </w:rPr>
        <w:t>otografieren oder PDF einlesen. Dank Texterkennung (OCR) werden die Daten erkannt, ohne dass sie abgetippt werden müssen.</w:t>
      </w:r>
    </w:p>
    <w:p w14:paraId="66F6E8E4" w14:textId="77777777" w:rsidR="00D037AE" w:rsidRDefault="00D037AE">
      <w:pPr>
        <w:spacing w:after="120" w:line="259" w:lineRule="auto"/>
        <w:rPr>
          <w:rFonts w:ascii="Arial" w:eastAsia="Arial" w:hAnsi="Arial" w:cs="Arial"/>
          <w:b/>
          <w:sz w:val="24"/>
          <w:szCs w:val="24"/>
        </w:rPr>
      </w:pPr>
    </w:p>
    <w:p w14:paraId="29516B77" w14:textId="77777777" w:rsidR="00D037AE" w:rsidRDefault="00D037AE">
      <w:pPr>
        <w:spacing w:after="120" w:line="259" w:lineRule="auto"/>
        <w:rPr>
          <w:rFonts w:ascii="Arial" w:eastAsia="Arial" w:hAnsi="Arial" w:cs="Arial"/>
          <w:b/>
          <w:sz w:val="24"/>
          <w:szCs w:val="24"/>
        </w:rPr>
      </w:pPr>
    </w:p>
    <w:p w14:paraId="339478A4" w14:textId="77777777" w:rsidR="00D037AE" w:rsidRDefault="00D037AE">
      <w:pPr>
        <w:spacing w:after="120" w:line="259" w:lineRule="auto"/>
        <w:rPr>
          <w:rFonts w:ascii="Arial" w:eastAsia="Arial" w:hAnsi="Arial" w:cs="Arial"/>
          <w:b/>
          <w:sz w:val="24"/>
          <w:szCs w:val="24"/>
        </w:rPr>
      </w:pPr>
    </w:p>
    <w:p w14:paraId="61E4FF32"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Serienrechnungen</w:t>
      </w:r>
    </w:p>
    <w:p w14:paraId="291F1647"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lastRenderedPageBreak/>
        <w:t xml:space="preserve">Für Dauermietrechnungen, Leistungen im Abonnement oder andere sich wiederholende Rechnungsgründe – Sie bestimmen, </w:t>
      </w:r>
      <w:r>
        <w:rPr>
          <w:rFonts w:ascii="Arial" w:eastAsia="Arial" w:hAnsi="Arial" w:cs="Arial"/>
          <w:sz w:val="24"/>
          <w:szCs w:val="24"/>
        </w:rPr>
        <w:t>wann und wie oft Ihr Kunde automatisch eine Rechnung erhält.</w:t>
      </w:r>
    </w:p>
    <w:p w14:paraId="28A677F6" w14:textId="77777777" w:rsidR="00D037AE" w:rsidRDefault="00D037AE">
      <w:pPr>
        <w:spacing w:after="120" w:line="259" w:lineRule="auto"/>
        <w:rPr>
          <w:rFonts w:ascii="Arial" w:eastAsia="Arial" w:hAnsi="Arial" w:cs="Arial"/>
          <w:sz w:val="24"/>
          <w:szCs w:val="24"/>
        </w:rPr>
      </w:pPr>
    </w:p>
    <w:p w14:paraId="1554EDDD"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Mahnungen</w:t>
      </w:r>
    </w:p>
    <w:p w14:paraId="7635F46C"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0EEEDBD5" w14:textId="77777777" w:rsidR="00D037AE" w:rsidRDefault="00D037AE">
      <w:pPr>
        <w:spacing w:after="120" w:line="259" w:lineRule="auto"/>
        <w:rPr>
          <w:rFonts w:ascii="Arial" w:eastAsia="Arial" w:hAnsi="Arial" w:cs="Arial"/>
          <w:sz w:val="24"/>
          <w:szCs w:val="24"/>
        </w:rPr>
      </w:pPr>
    </w:p>
    <w:p w14:paraId="7C7432F2"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10D37371"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1B005D8A" w14:textId="77777777" w:rsidR="00D037AE" w:rsidRDefault="00D037AE">
      <w:pPr>
        <w:spacing w:after="120" w:line="259" w:lineRule="auto"/>
        <w:rPr>
          <w:rFonts w:ascii="Arial" w:eastAsia="Arial" w:hAnsi="Arial" w:cs="Arial"/>
          <w:b/>
          <w:sz w:val="24"/>
          <w:szCs w:val="24"/>
        </w:rPr>
      </w:pPr>
    </w:p>
    <w:p w14:paraId="78114667"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49C6E45D"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w:t>
      </w:r>
      <w:r>
        <w:rPr>
          <w:rFonts w:ascii="Arial" w:eastAsia="Arial" w:hAnsi="Arial" w:cs="Arial"/>
          <w:sz w:val="24"/>
          <w:szCs w:val="24"/>
        </w:rPr>
        <w:t>ATEVconnect</w:t>
      </w:r>
      <w:proofErr w:type="spellEnd"/>
      <w:r>
        <w:rPr>
          <w:rFonts w:ascii="Arial" w:eastAsia="Arial" w:hAnsi="Arial" w:cs="Arial"/>
          <w:sz w:val="24"/>
          <w:szCs w:val="24"/>
        </w:rPr>
        <w:t>- online-Schnittstelle.</w:t>
      </w:r>
    </w:p>
    <w:p w14:paraId="6E33A2DE" w14:textId="77777777" w:rsidR="00D037AE" w:rsidRDefault="00D037AE">
      <w:pPr>
        <w:spacing w:after="120" w:line="259" w:lineRule="auto"/>
        <w:rPr>
          <w:rFonts w:ascii="Arial" w:eastAsia="Arial" w:hAnsi="Arial" w:cs="Arial"/>
          <w:sz w:val="24"/>
          <w:szCs w:val="24"/>
        </w:rPr>
      </w:pPr>
    </w:p>
    <w:p w14:paraId="4DFC0BBE"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595B63D8"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Kontaktdaten immer schnell zur Hand.</w:t>
      </w:r>
    </w:p>
    <w:p w14:paraId="22123DEC" w14:textId="77777777" w:rsidR="00D037AE" w:rsidRDefault="00D037AE">
      <w:pPr>
        <w:spacing w:after="120" w:line="259" w:lineRule="auto"/>
        <w:rPr>
          <w:rFonts w:ascii="Arial" w:eastAsia="Arial" w:hAnsi="Arial" w:cs="Arial"/>
          <w:sz w:val="24"/>
          <w:szCs w:val="24"/>
        </w:rPr>
      </w:pPr>
    </w:p>
    <w:p w14:paraId="30DE4227" w14:textId="77777777" w:rsidR="00D037AE" w:rsidRDefault="001D231D">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599CAD94" w14:textId="77777777" w:rsidR="00D037AE" w:rsidRDefault="001D231D">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w:t>
      </w:r>
      <w:r>
        <w:rPr>
          <w:rFonts w:ascii="Arial" w:eastAsia="Arial" w:hAnsi="Arial" w:cs="Arial"/>
          <w:sz w:val="24"/>
          <w:szCs w:val="24"/>
        </w:rPr>
        <w:t>und-Verlust-Rechnung (GuV), Einnahmen-Überschuss- Rechnung (EÜR), Kassenbuch, Zusammenfassende Meldung, Offene Posten, Innergemeinschaftliche Lieferung, Liquiditäts-Planung, Mehrere Benutzeraccounts, Layout-Designer u.v.m.</w:t>
      </w:r>
    </w:p>
    <w:p w14:paraId="6ABBF7AE" w14:textId="77777777" w:rsidR="00D037AE" w:rsidRDefault="00D037AE">
      <w:pPr>
        <w:spacing w:after="120" w:line="259" w:lineRule="auto"/>
        <w:rPr>
          <w:rFonts w:ascii="Arial" w:eastAsia="Arial" w:hAnsi="Arial" w:cs="Arial"/>
          <w:sz w:val="24"/>
          <w:szCs w:val="24"/>
        </w:rPr>
      </w:pPr>
    </w:p>
    <w:p w14:paraId="4819C426" w14:textId="77777777" w:rsidR="00D037AE" w:rsidRDefault="00D037AE">
      <w:pPr>
        <w:spacing w:after="120" w:line="259" w:lineRule="auto"/>
        <w:rPr>
          <w:rFonts w:ascii="Arial" w:eastAsia="Arial" w:hAnsi="Arial" w:cs="Arial"/>
          <w:sz w:val="24"/>
          <w:szCs w:val="24"/>
        </w:rPr>
      </w:pPr>
    </w:p>
    <w:p w14:paraId="1F86BBE6" w14:textId="77777777" w:rsidR="00D037AE" w:rsidRDefault="001D231D">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0EE33515" w14:textId="77777777" w:rsidR="00D037AE" w:rsidRDefault="001D231D">
      <w:pPr>
        <w:jc w:val="both"/>
        <w:rPr>
          <w:rFonts w:ascii="Architects Daughter" w:eastAsia="Architects Daughter" w:hAnsi="Architects Daughter" w:cs="Architects Daughter"/>
          <w:sz w:val="32"/>
          <w:szCs w:val="32"/>
        </w:rPr>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w:t>
      </w:r>
      <w:r>
        <w:rPr>
          <w:rFonts w:ascii="Arial" w:eastAsia="Arial" w:hAnsi="Arial" w:cs="Arial"/>
          <w:sz w:val="24"/>
          <w:szCs w:val="24"/>
        </w:rPr>
        <w:t xml:space="preserve"> sind ergänzend verfügbar für iOS und Android in den jeweiligen App-Stores.</w:t>
      </w:r>
    </w:p>
    <w:sectPr w:rsidR="00D037AE">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A7FC" w14:textId="77777777" w:rsidR="001D231D" w:rsidRDefault="001D231D">
      <w:pPr>
        <w:spacing w:after="0" w:line="240" w:lineRule="auto"/>
      </w:pPr>
      <w:r>
        <w:separator/>
      </w:r>
    </w:p>
  </w:endnote>
  <w:endnote w:type="continuationSeparator" w:id="0">
    <w:p w14:paraId="6379FE4E" w14:textId="77777777" w:rsidR="001D231D" w:rsidRDefault="001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4B9A" w14:textId="77777777" w:rsidR="00D037AE" w:rsidRDefault="001D231D">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392C1A5A" w14:textId="77777777" w:rsidR="00D037AE" w:rsidRDefault="00D037A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A8E6" w14:textId="77777777" w:rsidR="00D037AE" w:rsidRDefault="00D037AE">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D037AE" w14:paraId="68A04674" w14:textId="77777777">
      <w:trPr>
        <w:trHeight w:val="1120"/>
      </w:trPr>
      <w:tc>
        <w:tcPr>
          <w:tcW w:w="2518" w:type="dxa"/>
          <w:tcBorders>
            <w:bottom w:val="single" w:sz="4" w:space="0" w:color="7F7F7F"/>
            <w:right w:val="nil"/>
          </w:tcBorders>
          <w:shd w:val="clear" w:color="auto" w:fill="auto"/>
        </w:tcPr>
        <w:p w14:paraId="11C525FF"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534F6214"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14:paraId="27728D2E"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709EF779"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1D88CE07" w14:textId="77777777" w:rsidR="00D037AE" w:rsidRDefault="001D231D">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245499C4"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5C9BC905"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5F7BB655"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280EBBD7"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5848DC3A" w14:textId="77777777" w:rsidR="00D037AE" w:rsidRDefault="001D231D">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Powered</w:t>
          </w:r>
          <w:proofErr w:type="spellEnd"/>
          <w:r>
            <w:rPr>
              <w:color w:val="000000"/>
              <w:sz w:val="18"/>
              <w:szCs w:val="18"/>
            </w:rPr>
            <w:t xml:space="preserve"> </w:t>
          </w:r>
          <w:proofErr w:type="spellStart"/>
          <w:r>
            <w:rPr>
              <w:color w:val="000000"/>
              <w:sz w:val="18"/>
              <w:szCs w:val="18"/>
            </w:rPr>
            <w:t>by</w:t>
          </w:r>
          <w:proofErr w:type="spellEnd"/>
        </w:p>
        <w:p w14:paraId="7E3594F4" w14:textId="77777777" w:rsidR="00D037AE" w:rsidRDefault="001D231D">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2EF1B402" wp14:editId="09938CAB">
                <wp:extent cx="1209675"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67BBCD0B" w14:textId="77777777" w:rsidR="00D037AE" w:rsidRDefault="00D037AE">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3F66" w14:textId="77777777" w:rsidR="001D231D" w:rsidRDefault="001D231D">
      <w:pPr>
        <w:spacing w:after="0" w:line="240" w:lineRule="auto"/>
      </w:pPr>
      <w:r>
        <w:separator/>
      </w:r>
    </w:p>
  </w:footnote>
  <w:footnote w:type="continuationSeparator" w:id="0">
    <w:p w14:paraId="19ABC541" w14:textId="77777777" w:rsidR="001D231D" w:rsidRDefault="001D2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54E3" w14:textId="77777777" w:rsidR="00D037AE" w:rsidRDefault="001D231D">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5F074465" wp14:editId="34D7CA4F">
          <wp:extent cx="1676400" cy="4476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5A97" w14:textId="77777777" w:rsidR="00D037AE" w:rsidRDefault="001D231D">
    <w:pPr>
      <w:tabs>
        <w:tab w:val="center" w:pos="4536"/>
        <w:tab w:val="right" w:pos="9072"/>
      </w:tabs>
      <w:spacing w:after="0" w:line="240" w:lineRule="auto"/>
      <w:jc w:val="right"/>
      <w:rPr>
        <w:color w:val="000000"/>
      </w:rPr>
    </w:pPr>
    <w:r>
      <w:rPr>
        <w:noProof/>
      </w:rPr>
      <w:drawing>
        <wp:inline distT="114300" distB="114300" distL="114300" distR="114300" wp14:anchorId="5578F697" wp14:editId="1C98DA0C">
          <wp:extent cx="1432048" cy="47847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508"/>
    <w:multiLevelType w:val="multilevel"/>
    <w:tmpl w:val="2CBEC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03632"/>
    <w:multiLevelType w:val="multilevel"/>
    <w:tmpl w:val="CFA0A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AD177D"/>
    <w:multiLevelType w:val="multilevel"/>
    <w:tmpl w:val="B7446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AE"/>
    <w:rsid w:val="001D231D"/>
    <w:rsid w:val="00281571"/>
    <w:rsid w:val="00D03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FAAA"/>
  <w15:docId w15:val="{5FC1F13C-353D-4DD1-9A56-2DFA2DE8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0" w:type="dxa"/>
        <w:bottom w:w="85"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281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6811</Characters>
  <Application>Microsoft Office Word</Application>
  <DocSecurity>0</DocSecurity>
  <Lines>56</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2022-02-23T16:04:00Z</dcterms:created>
  <dcterms:modified xsi:type="dcterms:W3CDTF">2022-02-23T16:05:00Z</dcterms:modified>
</cp:coreProperties>
</file>